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704F8" w14:textId="5806DB43" w:rsidR="001D305D" w:rsidRPr="002071B5" w:rsidRDefault="00D475E9" w:rsidP="00D475E9">
      <w:pPr>
        <w:pStyle w:val="BodyTex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3560D1A" w14:textId="633637B4" w:rsidR="00CE13BC" w:rsidRDefault="00D475E9" w:rsidP="00D475E9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 (id)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2071B5">
        <w:rPr>
          <w:rFonts w:ascii="Times New Roman" w:hAnsi="Times New Roman" w:cs="Times New Roman"/>
          <w:spacing w:val="-17"/>
          <w:sz w:val="24"/>
          <w:szCs w:val="24"/>
        </w:rPr>
        <w:t>….</w:t>
      </w:r>
    </w:p>
    <w:p w14:paraId="3D640F62" w14:textId="42558277" w:rsidR="001B1A2E" w:rsidRPr="002071B5" w:rsidRDefault="001B1A2E" w:rsidP="00D475E9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</w:p>
    <w:p w14:paraId="31767CE1" w14:textId="4F46B40F" w:rsidR="001D305D" w:rsidRPr="002071B5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Pr="002071B5">
        <w:rPr>
          <w:rFonts w:ascii="Times New Roman" w:hAnsi="Times New Roman" w:cs="Times New Roman"/>
          <w:sz w:val="24"/>
          <w:szCs w:val="24"/>
        </w:rPr>
        <w:t xml:space="preserve">: </w:t>
      </w:r>
      <w:r w:rsidR="002071B5">
        <w:rPr>
          <w:rFonts w:ascii="Times New Roman" w:hAnsi="Times New Roman" w:cs="Times New Roman"/>
          <w:sz w:val="24"/>
          <w:szCs w:val="24"/>
        </w:rPr>
        <w:t>….</w:t>
      </w:r>
    </w:p>
    <w:p w14:paraId="29A194F6" w14:textId="4C136A82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Pr="002071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71B5">
        <w:rPr>
          <w:rFonts w:ascii="Times New Roman" w:hAnsi="Times New Roman" w:cs="Times New Roman"/>
          <w:sz w:val="24"/>
          <w:szCs w:val="24"/>
        </w:rPr>
        <w:t>….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004F45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891DA8" w:rsidRPr="00687A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004F45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F39AF" w:rsidRPr="00284E1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y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4EA2D6BB" w14:textId="49B31437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1.</w:t>
            </w:r>
            <w:r w:rsidRPr="00D86F3D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  <w:highlight w:val="yellow"/>
              </w:rPr>
              <w:t xml:space="preserve"> </w:t>
            </w:r>
            <w:r w:rsidRPr="00D86F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Sõidutund</w:t>
            </w:r>
            <w:r w:rsidRP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highlight w:val="yellow"/>
              </w:rPr>
              <w:t xml:space="preserve"> </w:t>
            </w:r>
            <w:r w:rsidR="00D86F3D" w:rsidRP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highlight w:val="yellow"/>
              </w:rPr>
              <w:t>(sügisel alanud koolitus</w:t>
            </w:r>
            <w:r w:rsid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)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004F45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6EE4" w:rsidRPr="00602E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y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004F45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0B26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y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004F45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A2051" w:rsidRPr="000B2677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004F45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D475E9" w:rsidRPr="005C1B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y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004F45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475E9" w:rsidRPr="00485C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004F45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004F45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3224B" w:rsidRPr="00BB04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004F45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apps: teeületus reg-ta ülekäigurajal (tekst) </w:t>
            </w:r>
            <w:hyperlink r:id="rId24" w:history="1">
              <w:r w:rsidR="002D14A8"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004F45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3666" w:rsidRPr="00A702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y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004F45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004F45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94973" w:rsidRPr="00694973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E6685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30" w:history="1">
              <w:r w:rsidR="005C3C24" w:rsidRPr="00EA0B2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004F45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1A4332" w:rsidRPr="00EA0B20">
                <w:rPr>
                  <w:rStyle w:val="Hy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y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004F45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C303A6" w:rsidRPr="00EA0B20">
                <w:rPr>
                  <w:rStyle w:val="Hy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004F45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EA0B20" w:rsidRPr="00EA0B20">
                <w:rPr>
                  <w:rStyle w:val="Hy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004F45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2E3B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y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51A74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37" w:history="1">
              <w:r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2E3B" w:rsidRPr="005E71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C49CD"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004F45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C79E1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y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004F45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7347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y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004F45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004F45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79E1" w:rsidRPr="001E6A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1C79E1" w:rsidRPr="001C79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1C79E1" w:rsidRPr="001C79E1">
                <w:rPr>
                  <w:rStyle w:val="Hy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E6D62" w:rsidRPr="00716D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y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004F45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004F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5772C" w:rsidRPr="00A15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="00540BAF" w:rsidRPr="009E44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004F45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="00E64C9E" w:rsidRPr="00E64C9E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Keskendutakse eesõigusele ja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ohutut pikivahet;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CE13BC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järk: 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õidueksam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(koridor, slaalom, kaheksa</w:t>
            </w:r>
            <w:r w:rsidR="008A5B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Vt </w:t>
            </w:r>
            <w:hyperlink r:id="rId55" w:history="1">
              <w:r w:rsidR="006B603F" w:rsidRPr="00416880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  <w:highlight w:val="yellow"/>
                </w:rPr>
                <w:t>määruse</w:t>
              </w:r>
            </w:hyperlink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 lisa 2.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Sõidueksam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Vt </w:t>
            </w:r>
            <w:hyperlink r:id="rId56" w:history="1">
              <w:r w:rsidR="006B603F" w:rsidRPr="00416880">
                <w:rPr>
                  <w:rStyle w:val="Hyperlink"/>
                  <w:rFonts w:ascii="Times New Roman" w:hAnsi="Times New Roman" w:cs="Times New Roman"/>
                  <w:spacing w:val="-2"/>
                  <w:sz w:val="24"/>
                  <w:szCs w:val="24"/>
                  <w:highlight w:val="yellow"/>
                </w:rPr>
                <w:t>määruse</w:t>
              </w:r>
            </w:hyperlink>
            <w:r w:rsidR="006B603F" w:rsidRPr="00416880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 xml:space="preserve"> lisa 2.</w:t>
            </w: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7" w:history="1">
              <w:r w:rsidRPr="004B20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2C77C243" w:rsidR="001D305D" w:rsidRPr="00CE13BC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4E80" w:rsidRPr="00D43D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 järk toimub kooli</w:t>
            </w:r>
            <w:r w:rsidR="00D43DA3" w:rsidRPr="00D43D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hoovis aadressil ….</w:t>
            </w:r>
          </w:p>
          <w:p w14:paraId="0FF11B68" w14:textId="59DC342D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8C39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II järk </w:t>
            </w:r>
            <w:r w:rsidR="008C3974" w:rsidRPr="008C397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imiteeritud liiklusega plats, aadressiga …</w:t>
            </w:r>
            <w:r w:rsidR="008C39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3974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või </w:t>
            </w:r>
            <w:r w:rsidR="000F6242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vähese liiklusega teedel (1 õpilane, 1 ekssamikomisjoni liige)</w:t>
            </w:r>
            <w:r w:rsidR="002836A8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marsruudiga </w:t>
            </w:r>
            <w:r w:rsidR="004072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nt </w:t>
            </w:r>
            <w:r w:rsidR="002836A8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kooli parkla</w:t>
            </w:r>
            <w:r w:rsidR="00364FC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Marja tn</w:t>
            </w:r>
            <w:r w:rsidR="00AB7A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-Pirni </w:t>
            </w:r>
            <w:r w:rsidR="004072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tn-Laia tn äärne jalgratta- ja jalgtee </w:t>
            </w:r>
            <w:r w:rsidR="002836A8" w:rsidRPr="004168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….</w:t>
            </w:r>
          </w:p>
        </w:tc>
        <w:tc>
          <w:tcPr>
            <w:tcW w:w="3293" w:type="dxa"/>
          </w:tcPr>
          <w:p w14:paraId="2FB52645" w14:textId="6D8190F6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>
              <w:rPr>
                <w:rFonts w:ascii="Times New Roman" w:hAnsi="Times New Roman" w:cs="Times New Roman"/>
                <w:i/>
                <w:sz w:val="24"/>
                <w:szCs w:val="24"/>
              </w:rPr>
              <w:t>, vähemalt 9 a 6 k õpilastele antakse juhitmisõigus ja väljastatakse luba kõige varasemalt 10. sünnipäeval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36841BC9" w:rsidR="00BE5280" w:rsidRPr="00B03918" w:rsidRDefault="00BE52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PS! Tööplaani ei ole arvestatud teooria</w:t>
      </w:r>
      <w:r w:rsidR="00506C07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041CF"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ja/või</w:t>
      </w:r>
      <w:r w:rsidRPr="00B039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sõidu korduseksameid. Vajadusel lisada.</w:t>
      </w:r>
    </w:p>
    <w:p w14:paraId="4375AE99" w14:textId="5AA92963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ak t, sõiduõpe 6 ak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004F45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r w:rsidR="00290338" w:rsidRPr="00290338">
          <w:rPr>
            <w:rStyle w:val="Hy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yperlink"/>
          <w:rFonts w:ascii="Times New Roman" w:hAnsi="Times New Roman" w:cs="Times New Roman"/>
          <w:sz w:val="24"/>
          <w:szCs w:val="24"/>
        </w:rPr>
        <w:t>s</w:t>
      </w:r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004F45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="00290338" w:rsidRPr="00290338">
          <w:rPr>
            <w:rStyle w:val="Hy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0" w:history="1">
        <w:r w:rsidR="00481C09" w:rsidRPr="00C71395">
          <w:rPr>
            <w:rStyle w:val="Hy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1" w:history="1">
        <w:r w:rsidR="00951805" w:rsidRPr="00080B42">
          <w:rPr>
            <w:rStyle w:val="Hy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004F45">
      <w:pPr>
        <w:rPr>
          <w:rFonts w:ascii="Times New Roman" w:hAnsi="Times New Roman" w:cs="Times New Roman"/>
          <w:sz w:val="24"/>
          <w:szCs w:val="24"/>
        </w:rPr>
      </w:pPr>
      <w:hyperlink r:id="rId62" w:history="1"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004F45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4" w:history="1">
        <w:r w:rsidR="00BD3F87" w:rsidRPr="00BD3F87">
          <w:rPr>
            <w:rStyle w:val="Hy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10"/>
  </w:num>
  <w:num w:numId="2" w16cid:durableId="587664932">
    <w:abstractNumId w:val="7"/>
  </w:num>
  <w:num w:numId="3" w16cid:durableId="163477777">
    <w:abstractNumId w:val="1"/>
  </w:num>
  <w:num w:numId="4" w16cid:durableId="957109128">
    <w:abstractNumId w:val="9"/>
  </w:num>
  <w:num w:numId="5" w16cid:durableId="777532277">
    <w:abstractNumId w:val="11"/>
  </w:num>
  <w:num w:numId="6" w16cid:durableId="496119764">
    <w:abstractNumId w:val="12"/>
  </w:num>
  <w:num w:numId="7" w16cid:durableId="23873665">
    <w:abstractNumId w:val="0"/>
  </w:num>
  <w:num w:numId="8" w16cid:durableId="1227298600">
    <w:abstractNumId w:val="4"/>
  </w:num>
  <w:num w:numId="9" w16cid:durableId="2128424138">
    <w:abstractNumId w:val="15"/>
  </w:num>
  <w:num w:numId="10" w16cid:durableId="1843422993">
    <w:abstractNumId w:val="19"/>
  </w:num>
  <w:num w:numId="11" w16cid:durableId="409042725">
    <w:abstractNumId w:val="8"/>
  </w:num>
  <w:num w:numId="12" w16cid:durableId="200749865">
    <w:abstractNumId w:val="6"/>
  </w:num>
  <w:num w:numId="13" w16cid:durableId="633097479">
    <w:abstractNumId w:val="3"/>
  </w:num>
  <w:num w:numId="14" w16cid:durableId="532428646">
    <w:abstractNumId w:val="16"/>
  </w:num>
  <w:num w:numId="15" w16cid:durableId="1238782448">
    <w:abstractNumId w:val="18"/>
  </w:num>
  <w:num w:numId="16" w16cid:durableId="892811990">
    <w:abstractNumId w:val="14"/>
  </w:num>
  <w:num w:numId="17" w16cid:durableId="1957831156">
    <w:abstractNumId w:val="17"/>
  </w:num>
  <w:num w:numId="18" w16cid:durableId="1427799288">
    <w:abstractNumId w:val="2"/>
  </w:num>
  <w:num w:numId="19" w16cid:durableId="959074878">
    <w:abstractNumId w:val="13"/>
  </w:num>
  <w:num w:numId="20" w16cid:durableId="335688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772C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02D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eteenindus.mnt.ee/main.jsf" TargetMode="External"/><Relationship Id="rId19" Type="http://schemas.openxmlformats.org/officeDocument/2006/relationships/hyperlink" Target="https://www.google.com/maps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kahoot.com/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62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www.youtube.com/watch?v=nKmmC12mKcg&amp;list=PLIb4Ux8uE-KbJyDoENLcAilrE9FTjD8U3&amp;index=7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Relationship Id="rId60" Type="http://schemas.openxmlformats.org/officeDocument/2006/relationships/hyperlink" Target="https://liiklusharidus.transpordiamet.e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39" Type="http://schemas.openxmlformats.org/officeDocument/2006/relationships/hyperlink" Target="https://learningapps.org/view4375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</Pages>
  <Words>3487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Marika Luik</cp:lastModifiedBy>
  <cp:revision>288</cp:revision>
  <dcterms:created xsi:type="dcterms:W3CDTF">2023-12-27T08:29:00Z</dcterms:created>
  <dcterms:modified xsi:type="dcterms:W3CDTF">2026-01-14T14:55:00Z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